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83CC" w14:textId="77777777" w:rsidR="00A67D6C" w:rsidRPr="00A67D6C" w:rsidRDefault="00A67D6C" w:rsidP="00A67D6C">
      <w:pPr>
        <w:jc w:val="center"/>
        <w:rPr>
          <w:rFonts w:ascii="Verdana" w:hAnsi="Verdana"/>
          <w:b/>
          <w:color w:val="auto"/>
          <w:sz w:val="22"/>
          <w:szCs w:val="22"/>
        </w:rPr>
      </w:pPr>
      <w:r w:rsidRPr="00A67D6C">
        <w:rPr>
          <w:b/>
          <w:sz w:val="22"/>
          <w:szCs w:val="22"/>
        </w:rPr>
        <w:t>Καλοκαιρινός έλεγχος για αυτοκίνητα Fiat, Alfa Romeo και Abarth</w:t>
      </w:r>
    </w:p>
    <w:p w14:paraId="0B9EDA6A" w14:textId="77777777" w:rsidR="00A67D6C" w:rsidRPr="00A67D6C" w:rsidRDefault="00A67D6C" w:rsidP="00A67D6C">
      <w:pPr>
        <w:rPr>
          <w:sz w:val="22"/>
          <w:szCs w:val="22"/>
        </w:rPr>
      </w:pPr>
    </w:p>
    <w:p w14:paraId="682DDBEA" w14:textId="77777777" w:rsidR="00A67D6C" w:rsidRPr="00A67D6C" w:rsidRDefault="00A67D6C" w:rsidP="00A67D6C">
      <w:pPr>
        <w:rPr>
          <w:sz w:val="22"/>
          <w:szCs w:val="22"/>
        </w:rPr>
      </w:pPr>
      <w:r w:rsidRPr="00A67D6C">
        <w:rPr>
          <w:sz w:val="22"/>
          <w:szCs w:val="22"/>
        </w:rPr>
        <w:t>Η Fiat Chrysler Automobiles Hellas έχει ως σταθερό στόχο να διευκολύνει τους πελάτες της στη σωστή συντήρηση των αυτοκινήτων τους, εξασφαλίζοντας ασφαλή οδήγηση και οδηγική απόλαυση, ιδιαίτερα στις δύσκολες συνθήκες του καλοκαιριού. Μέσα σ' αυτό το πλαίσιο προσφέρει στην προνομιακή τιμή των 29 ευρώ (συμπεριλαμβάνεται ο ΦΠΑ) έναν έλεγχο 15 σημείων και service κλιματιστικού με αλλαγή φίλτρου καμπίνας, σε όλους τους κατόχους αυτοκινήτων Fiat, Alfa Romeo και Abarth. Επίσης, υπάρχει και η δυνατότητα αλλαγής των υαλοκαθαριστήρων με γνήσιους υαλοκαθαριστήρες τύπου FLAT στην τιμή των 29 ευρώ.</w:t>
      </w:r>
    </w:p>
    <w:p w14:paraId="425A7DD1" w14:textId="77777777" w:rsidR="00A67D6C" w:rsidRPr="00A67D6C" w:rsidRDefault="00A67D6C" w:rsidP="00A67D6C">
      <w:pPr>
        <w:jc w:val="right"/>
        <w:rPr>
          <w:sz w:val="22"/>
          <w:szCs w:val="22"/>
        </w:rPr>
      </w:pPr>
    </w:p>
    <w:p w14:paraId="2499A4A7" w14:textId="77777777" w:rsidR="00A67D6C" w:rsidRPr="00A67D6C" w:rsidRDefault="00A67D6C" w:rsidP="00A67D6C">
      <w:pPr>
        <w:rPr>
          <w:sz w:val="22"/>
          <w:szCs w:val="22"/>
        </w:rPr>
      </w:pPr>
      <w:r w:rsidRPr="00A67D6C">
        <w:rPr>
          <w:sz w:val="22"/>
          <w:szCs w:val="22"/>
        </w:rPr>
        <w:t>Ο έλεγχος των 15 βασικών σημείων του αυτοκινήτου εξασφαλίζει την απρόσκοπτη λειτουργία του με τη μέγιστη ασφάλεια. Σε ό,τι αφορά το κλιματιστικό, κατά την περίοδο του χειμώνα, η αυξημένη υγρασία και η ατμοσφαιρική ρύπανση, σε συνδυασμό με τα κλειστά παράθυρα, συνήθως ευνοούν την ανάπτυξη μυκήτων και μούχλας στο εσωτερικό των αεραγωγών του συστήματος κλιματισμού. Με την έναρξη της χρήσης του κλιματιστικού από την άνοιξη και μετά, οι δυσάρεστες οσμές που δημιουργούνται προκαλούν εκτός της δυσφορίας και πολλές αλλεργίες. Η σωστή συντήρηση του κλιματιστικού με χρήση του γνήσιου φίλτρου καμπίνας διασφαλίζει την ποιότητα του αέρα στο εσωτερικό του αυτοκινήτου, καταπολεμώντας την ρύπανση, τις υψηλές θερμοκρασίες και την υγρασία. Τέλος, οι αποδοτικοί υαλοκαθαριστήρες εγγυώνται καλή ορατότητα, ενισχύοντας την ασφάλεια.</w:t>
      </w:r>
    </w:p>
    <w:p w14:paraId="19CABF96" w14:textId="77777777" w:rsidR="00A67D6C" w:rsidRPr="00A67D6C" w:rsidRDefault="00A67D6C" w:rsidP="00A67D6C">
      <w:pPr>
        <w:rPr>
          <w:sz w:val="22"/>
          <w:szCs w:val="22"/>
        </w:rPr>
      </w:pPr>
      <w:r w:rsidRPr="00A67D6C">
        <w:rPr>
          <w:sz w:val="22"/>
          <w:szCs w:val="22"/>
        </w:rPr>
        <w:t xml:space="preserve"> </w:t>
      </w:r>
    </w:p>
    <w:p w14:paraId="1224AE6B" w14:textId="2B7EDA7C" w:rsidR="00A67D6C" w:rsidRPr="00A67D6C" w:rsidRDefault="00A67D6C" w:rsidP="00A67D6C">
      <w:pPr>
        <w:rPr>
          <w:sz w:val="22"/>
          <w:szCs w:val="22"/>
        </w:rPr>
      </w:pPr>
      <w:r>
        <w:rPr>
          <w:sz w:val="22"/>
          <w:szCs w:val="22"/>
        </w:rPr>
        <w:t>Ο</w:t>
      </w:r>
      <w:r w:rsidRPr="00A67D6C">
        <w:rPr>
          <w:sz w:val="22"/>
          <w:szCs w:val="22"/>
        </w:rPr>
        <w:t xml:space="preserve"> διαγνωστικός έλεγχος 15 σημείων περιλαμβάνει: </w:t>
      </w:r>
    </w:p>
    <w:p w14:paraId="2443F8F1" w14:textId="77777777" w:rsidR="00A67D6C" w:rsidRPr="00A67D6C" w:rsidRDefault="00A67D6C" w:rsidP="00A67D6C">
      <w:pPr>
        <w:rPr>
          <w:sz w:val="22"/>
          <w:szCs w:val="22"/>
        </w:rPr>
      </w:pPr>
      <w:r w:rsidRPr="00A67D6C">
        <w:rPr>
          <w:sz w:val="22"/>
          <w:szCs w:val="22"/>
        </w:rPr>
        <w:t>1. Κατάσταση και πίεση ελαστικών</w:t>
      </w:r>
    </w:p>
    <w:p w14:paraId="5EB2069F" w14:textId="77777777" w:rsidR="00A67D6C" w:rsidRPr="00A67D6C" w:rsidRDefault="00A67D6C" w:rsidP="00A67D6C">
      <w:pPr>
        <w:rPr>
          <w:sz w:val="22"/>
          <w:szCs w:val="22"/>
        </w:rPr>
      </w:pPr>
      <w:r w:rsidRPr="00A67D6C">
        <w:rPr>
          <w:sz w:val="22"/>
          <w:szCs w:val="22"/>
        </w:rPr>
        <w:t>2. Κατάσταση και επίπεδα φόρτισης μπαταρίας</w:t>
      </w:r>
    </w:p>
    <w:p w14:paraId="6EB4F021" w14:textId="77777777" w:rsidR="00A67D6C" w:rsidRPr="00A67D6C" w:rsidRDefault="00A67D6C" w:rsidP="00A67D6C">
      <w:pPr>
        <w:rPr>
          <w:sz w:val="22"/>
          <w:szCs w:val="22"/>
        </w:rPr>
      </w:pPr>
      <w:r w:rsidRPr="00A67D6C">
        <w:rPr>
          <w:sz w:val="22"/>
          <w:szCs w:val="22"/>
        </w:rPr>
        <w:t>3. Κατάσταση λάστιχων καθαριστήρων (εμπρός και πίσω)</w:t>
      </w:r>
    </w:p>
    <w:p w14:paraId="2E6D112F" w14:textId="77777777" w:rsidR="00A67D6C" w:rsidRPr="00A67D6C" w:rsidRDefault="00A67D6C" w:rsidP="00A67D6C">
      <w:pPr>
        <w:rPr>
          <w:sz w:val="22"/>
          <w:szCs w:val="22"/>
        </w:rPr>
      </w:pPr>
      <w:r w:rsidRPr="00A67D6C">
        <w:rPr>
          <w:sz w:val="22"/>
          <w:szCs w:val="22"/>
        </w:rPr>
        <w:t>4. Στάθμη αντιψυκτικού κινητήρα</w:t>
      </w:r>
    </w:p>
    <w:p w14:paraId="293900D5" w14:textId="77777777" w:rsidR="00A67D6C" w:rsidRPr="00A67D6C" w:rsidRDefault="00A67D6C" w:rsidP="00A67D6C">
      <w:pPr>
        <w:rPr>
          <w:sz w:val="22"/>
          <w:szCs w:val="22"/>
        </w:rPr>
      </w:pPr>
      <w:r w:rsidRPr="00A67D6C">
        <w:rPr>
          <w:sz w:val="22"/>
          <w:szCs w:val="22"/>
        </w:rPr>
        <w:t>5. Στάθμη λαδιού κινητήρα</w:t>
      </w:r>
    </w:p>
    <w:p w14:paraId="0AE1AD2B" w14:textId="77777777" w:rsidR="00A67D6C" w:rsidRPr="00A67D6C" w:rsidRDefault="00A67D6C" w:rsidP="00A67D6C">
      <w:pPr>
        <w:rPr>
          <w:sz w:val="22"/>
          <w:szCs w:val="22"/>
        </w:rPr>
      </w:pPr>
      <w:r w:rsidRPr="00A67D6C">
        <w:rPr>
          <w:sz w:val="22"/>
          <w:szCs w:val="22"/>
        </w:rPr>
        <w:t>6. Έλεγχος διαδρομής χειρόφρενου</w:t>
      </w:r>
    </w:p>
    <w:p w14:paraId="0EBD1088" w14:textId="77777777" w:rsidR="00A67D6C" w:rsidRPr="00A67D6C" w:rsidRDefault="00A67D6C" w:rsidP="00A67D6C">
      <w:pPr>
        <w:rPr>
          <w:sz w:val="22"/>
          <w:szCs w:val="22"/>
        </w:rPr>
      </w:pPr>
      <w:r w:rsidRPr="00A67D6C">
        <w:rPr>
          <w:sz w:val="22"/>
          <w:szCs w:val="22"/>
        </w:rPr>
        <w:t>7. Στάθμη υγρού πλύσης παρμπρίζ/πίσω τζαμιού και έλεγχος ψεκαστήρων εμπρός/πίσω</w:t>
      </w:r>
    </w:p>
    <w:p w14:paraId="062FF6F2" w14:textId="77777777" w:rsidR="00A67D6C" w:rsidRPr="00A67D6C" w:rsidRDefault="00A67D6C" w:rsidP="00A67D6C">
      <w:pPr>
        <w:rPr>
          <w:sz w:val="22"/>
          <w:szCs w:val="22"/>
        </w:rPr>
      </w:pPr>
      <w:r w:rsidRPr="00A67D6C">
        <w:rPr>
          <w:sz w:val="22"/>
          <w:szCs w:val="22"/>
        </w:rPr>
        <w:t>8. Στάθμη υγρών φρένων</w:t>
      </w:r>
    </w:p>
    <w:p w14:paraId="7921449A" w14:textId="77777777" w:rsidR="00A67D6C" w:rsidRPr="00A67D6C" w:rsidRDefault="00A67D6C" w:rsidP="00A67D6C">
      <w:pPr>
        <w:rPr>
          <w:sz w:val="22"/>
          <w:szCs w:val="22"/>
        </w:rPr>
      </w:pPr>
      <w:r w:rsidRPr="00A67D6C">
        <w:rPr>
          <w:sz w:val="22"/>
          <w:szCs w:val="22"/>
        </w:rPr>
        <w:t>9. Κατάσταση φθοράς «τακακιών» φρένων</w:t>
      </w:r>
    </w:p>
    <w:p w14:paraId="0C51CBF9" w14:textId="77777777" w:rsidR="00A67D6C" w:rsidRPr="00A67D6C" w:rsidRDefault="00A67D6C" w:rsidP="00A67D6C">
      <w:pPr>
        <w:rPr>
          <w:sz w:val="22"/>
          <w:szCs w:val="22"/>
        </w:rPr>
      </w:pPr>
      <w:r w:rsidRPr="00A67D6C">
        <w:rPr>
          <w:sz w:val="22"/>
          <w:szCs w:val="22"/>
        </w:rPr>
        <w:t>10. Κατάσταση και λειτουργία εξωτερικών φώτων</w:t>
      </w:r>
    </w:p>
    <w:p w14:paraId="390AC508" w14:textId="77777777" w:rsidR="00A67D6C" w:rsidRPr="00A67D6C" w:rsidRDefault="00A67D6C" w:rsidP="00A67D6C">
      <w:pPr>
        <w:rPr>
          <w:sz w:val="22"/>
          <w:szCs w:val="22"/>
        </w:rPr>
      </w:pPr>
      <w:r w:rsidRPr="00A67D6C">
        <w:rPr>
          <w:sz w:val="22"/>
          <w:szCs w:val="22"/>
        </w:rPr>
        <w:t>11. Κατάσταση και λειτουργία συστήματος κλιματισμού (ψύξη/θέρμανση/φίλτρο γύρης)</w:t>
      </w:r>
    </w:p>
    <w:p w14:paraId="6D3598DF" w14:textId="77777777" w:rsidR="00A67D6C" w:rsidRPr="00A67D6C" w:rsidRDefault="00A67D6C" w:rsidP="00A67D6C">
      <w:pPr>
        <w:rPr>
          <w:sz w:val="22"/>
          <w:szCs w:val="22"/>
        </w:rPr>
      </w:pPr>
      <w:r w:rsidRPr="00A67D6C">
        <w:rPr>
          <w:sz w:val="22"/>
          <w:szCs w:val="22"/>
        </w:rPr>
        <w:t>12. Διαγνωστικός έλεγχος (με το Witech Plus ή το Examiner) - Έλεγχος καυσαερίων</w:t>
      </w:r>
    </w:p>
    <w:p w14:paraId="3C36A277" w14:textId="77777777" w:rsidR="00A67D6C" w:rsidRPr="00A67D6C" w:rsidRDefault="00A67D6C" w:rsidP="00A67D6C">
      <w:pPr>
        <w:rPr>
          <w:sz w:val="22"/>
          <w:szCs w:val="22"/>
        </w:rPr>
      </w:pPr>
      <w:r w:rsidRPr="00A67D6C">
        <w:rPr>
          <w:sz w:val="22"/>
          <w:szCs w:val="22"/>
        </w:rPr>
        <w:t>13. Έλεγχος συστήματος διεύθυνσης</w:t>
      </w:r>
    </w:p>
    <w:p w14:paraId="17038806" w14:textId="77777777" w:rsidR="00A67D6C" w:rsidRPr="00A67D6C" w:rsidRDefault="00A67D6C" w:rsidP="00A67D6C">
      <w:pPr>
        <w:rPr>
          <w:sz w:val="22"/>
          <w:szCs w:val="22"/>
        </w:rPr>
      </w:pPr>
      <w:r w:rsidRPr="00A67D6C">
        <w:rPr>
          <w:sz w:val="22"/>
          <w:szCs w:val="22"/>
        </w:rPr>
        <w:t>14. Έλεγχος αναρτήσεων εμπρός-πίσω</w:t>
      </w:r>
    </w:p>
    <w:p w14:paraId="7D860B05" w14:textId="77777777" w:rsidR="00A67D6C" w:rsidRPr="00A67D6C" w:rsidRDefault="00A67D6C" w:rsidP="00A67D6C">
      <w:pPr>
        <w:rPr>
          <w:sz w:val="22"/>
          <w:szCs w:val="22"/>
        </w:rPr>
      </w:pPr>
      <w:r w:rsidRPr="00A67D6C">
        <w:rPr>
          <w:sz w:val="22"/>
          <w:szCs w:val="22"/>
        </w:rPr>
        <w:t>15. Έλεγχος ιμάντων κίνησης βοηθητικών συστημάτων κινητήρα</w:t>
      </w:r>
    </w:p>
    <w:p w14:paraId="0798A19F" w14:textId="02328E50" w:rsidR="00903FBF" w:rsidRDefault="00A67D6C" w:rsidP="00A67D6C">
      <w:pPr>
        <w:rPr>
          <w:sz w:val="22"/>
          <w:szCs w:val="22"/>
        </w:rPr>
      </w:pPr>
      <w:r w:rsidRPr="00A67D6C">
        <w:rPr>
          <w:sz w:val="22"/>
          <w:szCs w:val="22"/>
        </w:rPr>
        <w:lastRenderedPageBreak/>
        <w:t xml:space="preserve">Η παραπάνω ενέργεια θα ισχύει από </w:t>
      </w:r>
      <w:r w:rsidR="00214A83">
        <w:rPr>
          <w:sz w:val="22"/>
          <w:szCs w:val="22"/>
          <w:lang w:val="el-GR"/>
        </w:rPr>
        <w:t>22</w:t>
      </w:r>
      <w:bookmarkStart w:id="0" w:name="_GoBack"/>
      <w:bookmarkEnd w:id="0"/>
      <w:r w:rsidRPr="00A67D6C">
        <w:rPr>
          <w:sz w:val="22"/>
          <w:szCs w:val="22"/>
        </w:rPr>
        <w:t xml:space="preserve"> Ιουνίου έως και 31 Αυγούστου 2015 και οι ενδιαφερόμενοι μπορούν να απευθυνθούν για τους ελέγχους στα εξουσιοδοτημένα συνεργεία Fiat/Alfa Romeo/Abarth.</w:t>
      </w:r>
    </w:p>
    <w:p w14:paraId="409CEF2C" w14:textId="5F9038AF" w:rsidR="007E2D4D" w:rsidRDefault="007E2D4D" w:rsidP="00A67D6C">
      <w:pPr>
        <w:rPr>
          <w:sz w:val="22"/>
          <w:szCs w:val="22"/>
        </w:rPr>
      </w:pPr>
    </w:p>
    <w:p w14:paraId="3ADB7947" w14:textId="56E808FA" w:rsidR="007E2D4D" w:rsidRPr="007E2D4D" w:rsidRDefault="007E2D4D" w:rsidP="00A67D6C">
      <w:pPr>
        <w:rPr>
          <w:sz w:val="22"/>
          <w:szCs w:val="22"/>
          <w:lang w:val="el-GR"/>
        </w:rPr>
      </w:pPr>
      <w:r>
        <w:rPr>
          <w:sz w:val="22"/>
          <w:szCs w:val="22"/>
          <w:lang w:val="el-GR"/>
        </w:rPr>
        <w:t xml:space="preserve">Μάθετε περισσότερα κάνοντας </w:t>
      </w:r>
      <w:hyperlink r:id="rId8" w:history="1">
        <w:r w:rsidRPr="007E2D4D">
          <w:rPr>
            <w:rStyle w:val="Hyperlink"/>
            <w:sz w:val="22"/>
            <w:szCs w:val="22"/>
            <w:lang w:val="el-GR"/>
          </w:rPr>
          <w:t>κλικ εδώ</w:t>
        </w:r>
      </w:hyperlink>
      <w:r>
        <w:rPr>
          <w:sz w:val="22"/>
          <w:szCs w:val="22"/>
          <w:lang w:val="el-GR"/>
        </w:rPr>
        <w:t>.</w:t>
      </w:r>
    </w:p>
    <w:p w14:paraId="7880B945" w14:textId="77777777" w:rsidR="00A67D6C" w:rsidRPr="00A67D6C" w:rsidRDefault="00A67D6C" w:rsidP="00A67D6C">
      <w:pPr>
        <w:rPr>
          <w:sz w:val="22"/>
          <w:szCs w:val="22"/>
        </w:rPr>
      </w:pPr>
    </w:p>
    <w:p w14:paraId="0CA2FB3B" w14:textId="40697E31" w:rsidR="00903FBF" w:rsidRPr="00A67D6C" w:rsidRDefault="00903FBF" w:rsidP="003760B0">
      <w:pPr>
        <w:jc w:val="both"/>
        <w:rPr>
          <w:sz w:val="22"/>
          <w:szCs w:val="22"/>
          <w:lang w:val="el-GR"/>
        </w:rPr>
      </w:pPr>
      <w:r w:rsidRPr="00A67D6C">
        <w:rPr>
          <w:sz w:val="22"/>
          <w:szCs w:val="22"/>
          <w:lang w:val="el-GR"/>
        </w:rPr>
        <w:t>Αθήνα,</w:t>
      </w:r>
    </w:p>
    <w:p w14:paraId="0C47FAB4" w14:textId="271EC93F" w:rsidR="00903FBF" w:rsidRPr="00A67D6C" w:rsidRDefault="007E2D4D" w:rsidP="003760B0">
      <w:pPr>
        <w:jc w:val="both"/>
        <w:rPr>
          <w:sz w:val="22"/>
          <w:szCs w:val="22"/>
          <w:lang w:val="el-GR"/>
        </w:rPr>
      </w:pPr>
      <w:r>
        <w:rPr>
          <w:sz w:val="22"/>
          <w:szCs w:val="22"/>
          <w:lang w:val="el-GR"/>
        </w:rPr>
        <w:t>23</w:t>
      </w:r>
      <w:r w:rsidR="00C8609E" w:rsidRPr="00A67D6C">
        <w:rPr>
          <w:sz w:val="22"/>
          <w:szCs w:val="22"/>
          <w:lang w:val="el-GR"/>
        </w:rPr>
        <w:t>/6</w:t>
      </w:r>
      <w:r w:rsidR="00903FBF" w:rsidRPr="00A67D6C">
        <w:rPr>
          <w:sz w:val="22"/>
          <w:szCs w:val="22"/>
          <w:lang w:val="el-GR"/>
        </w:rPr>
        <w:t>/2015</w:t>
      </w:r>
    </w:p>
    <w:p w14:paraId="2A1AFD7C" w14:textId="149B1E65" w:rsidR="00903FBF" w:rsidRPr="009261E2" w:rsidRDefault="007E2D4D" w:rsidP="003760B0">
      <w:pPr>
        <w:jc w:val="both"/>
        <w:rPr>
          <w:sz w:val="22"/>
          <w:szCs w:val="22"/>
          <w:lang w:val="en-GB"/>
        </w:rPr>
      </w:pPr>
      <w:r>
        <w:rPr>
          <w:sz w:val="22"/>
          <w:szCs w:val="22"/>
          <w:lang w:val="el-GR"/>
        </w:rPr>
        <w:t>ΔΕ/4280</w:t>
      </w:r>
    </w:p>
    <w:sectPr w:rsidR="00903FBF" w:rsidRPr="009261E2" w:rsidSect="003760B0">
      <w:headerReference w:type="default" r:id="rId9"/>
      <w:footerReference w:type="default" r:id="rId10"/>
      <w:headerReference w:type="first" r:id="rId11"/>
      <w:footerReference w:type="first" r:id="rId12"/>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76A8" w14:textId="77777777" w:rsidR="00685325" w:rsidRDefault="00685325" w:rsidP="008445AE">
      <w:r>
        <w:separator/>
      </w:r>
    </w:p>
  </w:endnote>
  <w:endnote w:type="continuationSeparator" w:id="0">
    <w:p w14:paraId="7370E12A" w14:textId="77777777" w:rsidR="00685325" w:rsidRDefault="00685325"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6981" w14:textId="77777777" w:rsidR="00C2091D" w:rsidRDefault="00C2091D" w:rsidP="008445AE">
    <w:pPr>
      <w:pStyle w:val="Footer"/>
    </w:pPr>
  </w:p>
  <w:p w14:paraId="11C14B50" w14:textId="77777777" w:rsidR="00C2091D" w:rsidRDefault="00C2091D" w:rsidP="008445AE">
    <w:pPr>
      <w:pStyle w:val="Footer"/>
    </w:pPr>
  </w:p>
  <w:p w14:paraId="3F73008C" w14:textId="77777777" w:rsidR="00C2091D" w:rsidRDefault="00C2091D" w:rsidP="008445AE">
    <w:pPr>
      <w:pStyle w:val="Footer"/>
    </w:pPr>
  </w:p>
  <w:p w14:paraId="39E8D573" w14:textId="77777777" w:rsidR="00C2091D" w:rsidRDefault="00C2091D"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0D63F1" w:rsidRPr="00AD5929" w14:paraId="42DEBF19" w14:textId="77777777">
      <w:trPr>
        <w:trHeight w:hRule="exact" w:val="964"/>
      </w:trPr>
      <w:tc>
        <w:tcPr>
          <w:tcW w:w="2948" w:type="dxa"/>
        </w:tcPr>
        <w:p w14:paraId="0F266387" w14:textId="77777777" w:rsidR="000D63F1" w:rsidRPr="00E27709" w:rsidRDefault="006E27BA" w:rsidP="00A8379B">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sidR="00E27709">
            <w:rPr>
              <w:b/>
              <w:noProof/>
              <w:lang w:val="el-GR"/>
            </w:rPr>
            <w:t>Ε</w:t>
          </w:r>
        </w:p>
        <w:p w14:paraId="4EC4EFC9" w14:textId="77777777" w:rsidR="000D63F1" w:rsidRPr="00AD5929" w:rsidRDefault="00AD5929" w:rsidP="00A8379B">
          <w:pPr>
            <w:pStyle w:val="04FOOTER"/>
            <w:rPr>
              <w:noProof/>
              <w:lang w:val="el-GR"/>
            </w:rPr>
          </w:pPr>
          <w:r>
            <w:rPr>
              <w:noProof/>
              <w:lang w:val="el-GR"/>
            </w:rPr>
            <w:t>Λ. Βουλιαγμένης 580</w:t>
          </w:r>
          <w:r w:rsidRPr="00AD5929">
            <w:rPr>
              <w:noProof/>
              <w:vertAlign w:val="superscript"/>
              <w:lang w:val="el-GR"/>
            </w:rPr>
            <w:t>Α</w:t>
          </w:r>
          <w:r w:rsidR="00962923">
            <w:rPr>
              <w:noProof/>
              <w:lang w:val="el-GR"/>
            </w:rPr>
            <w:t xml:space="preserve">, 16452 </w:t>
          </w:r>
          <w:r>
            <w:rPr>
              <w:noProof/>
              <w:lang w:val="el-GR"/>
            </w:rPr>
            <w:t>Αργυρούπολη</w:t>
          </w:r>
        </w:p>
        <w:p w14:paraId="742FBF45" w14:textId="77777777" w:rsidR="000D63F1" w:rsidRPr="00AD5929" w:rsidRDefault="00AD5929" w:rsidP="00A8379B">
          <w:pPr>
            <w:pStyle w:val="04FOOTER"/>
            <w:rPr>
              <w:noProof/>
              <w:lang w:val="el-GR"/>
            </w:rPr>
          </w:pPr>
          <w:r>
            <w:rPr>
              <w:noProof/>
              <w:lang w:val="el-GR"/>
            </w:rPr>
            <w:t>Τηλ</w:t>
          </w:r>
          <w:r w:rsidR="000D63F1" w:rsidRPr="00AD5929">
            <w:rPr>
              <w:noProof/>
              <w:lang w:val="el-GR"/>
            </w:rPr>
            <w:t xml:space="preserve">. </w:t>
          </w:r>
          <w:r>
            <w:rPr>
              <w:noProof/>
              <w:lang w:val="el-GR"/>
            </w:rPr>
            <w:t xml:space="preserve"> </w:t>
          </w:r>
          <w:r w:rsidR="006E27BA" w:rsidRPr="00AD5929">
            <w:rPr>
              <w:noProof/>
              <w:lang w:val="el-GR"/>
            </w:rPr>
            <w:t>210</w:t>
          </w:r>
          <w:r w:rsidR="000D63F1" w:rsidRPr="00AD5929">
            <w:rPr>
              <w:noProof/>
              <w:lang w:val="el-GR"/>
            </w:rPr>
            <w:t xml:space="preserve"> </w:t>
          </w:r>
          <w:r w:rsidR="00D12638">
            <w:rPr>
              <w:noProof/>
              <w:lang w:val="el-GR"/>
            </w:rPr>
            <w:t>9988630-1</w:t>
          </w:r>
        </w:p>
        <w:p w14:paraId="66C99E52" w14:textId="77777777" w:rsidR="000D63F1" w:rsidRPr="00AD5929" w:rsidRDefault="000D63F1" w:rsidP="00AD5929">
          <w:pPr>
            <w:pStyle w:val="04FOOTER"/>
            <w:rPr>
              <w:noProof/>
              <w:lang w:val="el-GR"/>
            </w:rPr>
          </w:pPr>
          <w:r w:rsidRPr="006E27BA">
            <w:rPr>
              <w:noProof/>
              <w:lang w:val="en-US"/>
            </w:rPr>
            <w:t>Fax</w:t>
          </w:r>
          <w:r w:rsidRPr="00AD5929">
            <w:rPr>
              <w:noProof/>
              <w:lang w:val="el-GR"/>
            </w:rPr>
            <w:t>.</w:t>
          </w:r>
          <w:r w:rsidR="00AD5929">
            <w:rPr>
              <w:noProof/>
              <w:lang w:val="el-GR"/>
            </w:rPr>
            <w:t xml:space="preserve">  </w:t>
          </w:r>
          <w:r w:rsidR="006E27BA" w:rsidRPr="00AD5929">
            <w:rPr>
              <w:noProof/>
              <w:lang w:val="el-GR"/>
            </w:rPr>
            <w:t>210</w:t>
          </w:r>
          <w:r w:rsidRPr="00AD5929">
            <w:rPr>
              <w:noProof/>
              <w:lang w:val="el-GR"/>
            </w:rPr>
            <w:t xml:space="preserve"> </w:t>
          </w:r>
          <w:r w:rsidR="00D12638">
            <w:rPr>
              <w:noProof/>
              <w:lang w:val="el-GR"/>
            </w:rPr>
            <w:t>9988632</w:t>
          </w:r>
        </w:p>
      </w:tc>
      <w:tc>
        <w:tcPr>
          <w:tcW w:w="2948" w:type="dxa"/>
        </w:tcPr>
        <w:p w14:paraId="5FCB8B20" w14:textId="77777777" w:rsidR="000D63F1" w:rsidRPr="00AD5929" w:rsidRDefault="000D63F1" w:rsidP="00A8379B">
          <w:pPr>
            <w:pStyle w:val="04FOOTER"/>
            <w:rPr>
              <w:noProof/>
              <w:lang w:val="el-GR"/>
            </w:rPr>
          </w:pPr>
        </w:p>
      </w:tc>
      <w:tc>
        <w:tcPr>
          <w:tcW w:w="2948" w:type="dxa"/>
        </w:tcPr>
        <w:p w14:paraId="1EA53493" w14:textId="77777777" w:rsidR="000D63F1" w:rsidRPr="00AD5929" w:rsidRDefault="000D63F1" w:rsidP="00A8379B">
          <w:pPr>
            <w:pStyle w:val="04FOOTER"/>
            <w:rPr>
              <w:lang w:val="el-GR"/>
            </w:rPr>
          </w:pPr>
        </w:p>
      </w:tc>
    </w:tr>
  </w:tbl>
  <w:p w14:paraId="7655F7CC" w14:textId="77777777" w:rsidR="00C2091D" w:rsidRPr="006E27BA" w:rsidRDefault="006E27BA">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0E7C"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14017" w14:textId="77777777" w:rsidR="00685325" w:rsidRDefault="00685325" w:rsidP="008445AE">
      <w:r>
        <w:separator/>
      </w:r>
    </w:p>
  </w:footnote>
  <w:footnote w:type="continuationSeparator" w:id="0">
    <w:p w14:paraId="2449E016" w14:textId="77777777" w:rsidR="00685325" w:rsidRDefault="00685325"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4881" w14:textId="77777777" w:rsidR="00C2091D" w:rsidRDefault="0018554B" w:rsidP="008445AE">
    <w:r>
      <w:rPr>
        <w:noProof/>
        <w:lang w:val="en-GB" w:eastAsia="en-GB"/>
      </w:rPr>
      <w:drawing>
        <wp:anchor distT="0" distB="0" distL="114300" distR="114300" simplePos="0" relativeHeight="251677696" behindDoc="0" locked="0" layoutInCell="1" allowOverlap="1" wp14:anchorId="50CD2BED" wp14:editId="6A1B12F7">
          <wp:simplePos x="0" y="0"/>
          <wp:positionH relativeFrom="column">
            <wp:posOffset>-1344930</wp:posOffset>
          </wp:positionH>
          <wp:positionV relativeFrom="paragraph">
            <wp:posOffset>3307080</wp:posOffset>
          </wp:positionV>
          <wp:extent cx="1223645" cy="8569325"/>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8569325"/>
                  </a:xfrm>
                  <a:prstGeom prst="rect">
                    <a:avLst/>
                  </a:prstGeom>
                </pic:spPr>
              </pic:pic>
            </a:graphicData>
          </a:graphic>
          <wp14:sizeRelH relativeFrom="page">
            <wp14:pctWidth>0</wp14:pctWidth>
          </wp14:sizeRelH>
          <wp14:sizeRelV relativeFrom="page">
            <wp14:pctHeight>0</wp14:pctHeight>
          </wp14:sizeRelV>
        </wp:anchor>
      </w:drawing>
    </w:r>
    <w:r w:rsidR="000B2C2A"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00C2091D"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D753" w14:textId="77777777" w:rsidR="00C2091D" w:rsidRPr="00C01009" w:rsidRDefault="00326551" w:rsidP="008445AE">
    <w:r>
      <w:rPr>
        <w:noProof/>
        <w:lang w:val="en-GB" w:eastAsia="en-GB"/>
      </w:rPr>
      <w:drawing>
        <wp:anchor distT="0" distB="0" distL="114300" distR="114300" simplePos="0" relativeHeight="251675648" behindDoc="0" locked="0" layoutInCell="1" allowOverlap="1" wp14:anchorId="6AA935B0" wp14:editId="787D8018">
          <wp:simplePos x="0" y="0"/>
          <wp:positionH relativeFrom="column">
            <wp:posOffset>-1335405</wp:posOffset>
          </wp:positionH>
          <wp:positionV relativeFrom="paragraph">
            <wp:posOffset>3297555</wp:posOffset>
          </wp:positionV>
          <wp:extent cx="1224000" cy="856947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000" cy="8569475"/>
                  </a:xfrm>
                  <a:prstGeom prst="rect">
                    <a:avLst/>
                  </a:prstGeom>
                </pic:spPr>
              </pic:pic>
            </a:graphicData>
          </a:graphic>
          <wp14:sizeRelH relativeFrom="page">
            <wp14:pctWidth>0</wp14:pctWidth>
          </wp14:sizeRelH>
          <wp14:sizeRelV relativeFrom="page">
            <wp14:pctHeight>0</wp14:pctHeight>
          </wp14:sizeRelV>
        </wp:anchor>
      </w:drawing>
    </w:r>
    <w:r w:rsidR="006E27BA">
      <w:rPr>
        <w:noProof/>
        <w:lang w:val="en-GB" w:eastAsia="en-GB"/>
      </w:rPr>
      <mc:AlternateContent>
        <mc:Choice Requires="wps">
          <w:drawing>
            <wp:anchor distT="0" distB="0" distL="114300" distR="114300" simplePos="0" relativeHeight="251668480" behindDoc="1" locked="1" layoutInCell="1" allowOverlap="1" wp14:anchorId="01A80CC9" wp14:editId="26FF3C6F">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FC38"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2091D">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2091D">
      <w:rPr>
        <w:noProof/>
      </w:rPr>
      <w:softHyphen/>
    </w:r>
    <w:r w:rsidR="00C2091D">
      <w:rPr>
        <w:noProof/>
      </w:rPr>
      <w:softHyphen/>
    </w:r>
    <w:r w:rsidR="00C2091D">
      <w:rPr>
        <w:noProof/>
      </w:rPr>
      <w:softHyphen/>
    </w:r>
    <w:r w:rsidR="00C2091D">
      <w:rPr>
        <w:noProof/>
      </w:rPr>
      <w:softHyphen/>
    </w:r>
    <w:r w:rsidR="000B2C2A">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6646"/>
    <w:rsid w:val="00037A59"/>
    <w:rsid w:val="000B2C2A"/>
    <w:rsid w:val="000D63F1"/>
    <w:rsid w:val="000E14AC"/>
    <w:rsid w:val="00146C37"/>
    <w:rsid w:val="00152E24"/>
    <w:rsid w:val="00161DD6"/>
    <w:rsid w:val="00167B27"/>
    <w:rsid w:val="0018554B"/>
    <w:rsid w:val="001E0902"/>
    <w:rsid w:val="00207772"/>
    <w:rsid w:val="00214A83"/>
    <w:rsid w:val="00220FB5"/>
    <w:rsid w:val="0027192F"/>
    <w:rsid w:val="00284B3D"/>
    <w:rsid w:val="002A64FF"/>
    <w:rsid w:val="002D4250"/>
    <w:rsid w:val="00326551"/>
    <w:rsid w:val="00343626"/>
    <w:rsid w:val="003554F8"/>
    <w:rsid w:val="003760B0"/>
    <w:rsid w:val="00390FF9"/>
    <w:rsid w:val="003B5A1D"/>
    <w:rsid w:val="003F5FB6"/>
    <w:rsid w:val="00405CF7"/>
    <w:rsid w:val="00406F2A"/>
    <w:rsid w:val="0048446B"/>
    <w:rsid w:val="00486C21"/>
    <w:rsid w:val="00537B35"/>
    <w:rsid w:val="005745E1"/>
    <w:rsid w:val="005905FE"/>
    <w:rsid w:val="005D6C02"/>
    <w:rsid w:val="006050F3"/>
    <w:rsid w:val="006074DC"/>
    <w:rsid w:val="00627EB2"/>
    <w:rsid w:val="006378EB"/>
    <w:rsid w:val="00646126"/>
    <w:rsid w:val="00685325"/>
    <w:rsid w:val="0068612B"/>
    <w:rsid w:val="006C3FBB"/>
    <w:rsid w:val="006E27BA"/>
    <w:rsid w:val="006E51F7"/>
    <w:rsid w:val="006F1B38"/>
    <w:rsid w:val="006F31C6"/>
    <w:rsid w:val="00717EF2"/>
    <w:rsid w:val="00725B42"/>
    <w:rsid w:val="00774949"/>
    <w:rsid w:val="00782ABB"/>
    <w:rsid w:val="007E2D4D"/>
    <w:rsid w:val="007F19B9"/>
    <w:rsid w:val="007F7B99"/>
    <w:rsid w:val="00836FF4"/>
    <w:rsid w:val="008445AE"/>
    <w:rsid w:val="008C6156"/>
    <w:rsid w:val="008C7C06"/>
    <w:rsid w:val="008F73E0"/>
    <w:rsid w:val="00903FBF"/>
    <w:rsid w:val="009261E2"/>
    <w:rsid w:val="009472BC"/>
    <w:rsid w:val="00962923"/>
    <w:rsid w:val="00980694"/>
    <w:rsid w:val="00994380"/>
    <w:rsid w:val="009F7A7A"/>
    <w:rsid w:val="00A46EFE"/>
    <w:rsid w:val="00A6648F"/>
    <w:rsid w:val="00A67D6C"/>
    <w:rsid w:val="00A71424"/>
    <w:rsid w:val="00A8538C"/>
    <w:rsid w:val="00AD5929"/>
    <w:rsid w:val="00AF281B"/>
    <w:rsid w:val="00B64045"/>
    <w:rsid w:val="00BD110C"/>
    <w:rsid w:val="00BF005B"/>
    <w:rsid w:val="00C2091D"/>
    <w:rsid w:val="00C5025D"/>
    <w:rsid w:val="00C54250"/>
    <w:rsid w:val="00C8609E"/>
    <w:rsid w:val="00CB21D2"/>
    <w:rsid w:val="00CD6196"/>
    <w:rsid w:val="00CF63FF"/>
    <w:rsid w:val="00D12638"/>
    <w:rsid w:val="00D20D3F"/>
    <w:rsid w:val="00D31C55"/>
    <w:rsid w:val="00D47CE8"/>
    <w:rsid w:val="00D66576"/>
    <w:rsid w:val="00D9047A"/>
    <w:rsid w:val="00DA3986"/>
    <w:rsid w:val="00DD31CD"/>
    <w:rsid w:val="00E21C29"/>
    <w:rsid w:val="00E243B6"/>
    <w:rsid w:val="00E245AA"/>
    <w:rsid w:val="00E27709"/>
    <w:rsid w:val="00E33605"/>
    <w:rsid w:val="00E410DE"/>
    <w:rsid w:val="00E53BFA"/>
    <w:rsid w:val="00E62B9A"/>
    <w:rsid w:val="00EC0EFE"/>
    <w:rsid w:val="00ED5185"/>
    <w:rsid w:val="00EE0E85"/>
    <w:rsid w:val="00F1681A"/>
    <w:rsid w:val="00F67FC5"/>
    <w:rsid w:val="00FA03BE"/>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DBF61A62-DC04-4362-9CB7-615C9F3A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at.mopar.eu/fiat/gr/el/promo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55F4-3DA2-45B1-AB44-9EDEEA49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2536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3</cp:revision>
  <cp:lastPrinted>2013-10-08T13:04:00Z</cp:lastPrinted>
  <dcterms:created xsi:type="dcterms:W3CDTF">2015-06-23T12:28:00Z</dcterms:created>
  <dcterms:modified xsi:type="dcterms:W3CDTF">2015-06-23T12:29:00Z</dcterms:modified>
</cp:coreProperties>
</file>